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852A" w14:textId="0FDDF9D6" w:rsidR="00866531" w:rsidRPr="00866531" w:rsidRDefault="00D61852" w:rsidP="00866531">
      <w:pPr>
        <w:tabs>
          <w:tab w:val="left" w:pos="1306"/>
          <w:tab w:val="left" w:pos="4410"/>
        </w:tabs>
        <w:jc w:val="right"/>
        <w:rPr>
          <w:rFonts w:cs="Segoe UI"/>
          <w:szCs w:val="20"/>
        </w:rPr>
      </w:pPr>
      <w:r>
        <w:rPr>
          <w:rFonts w:cs="Segoe UI"/>
          <w:szCs w:val="20"/>
        </w:rPr>
        <w:t>14</w:t>
      </w:r>
      <w:r w:rsidR="00866531" w:rsidRPr="00954913">
        <w:rPr>
          <w:rFonts w:cs="Segoe UI"/>
          <w:szCs w:val="20"/>
        </w:rPr>
        <w:t>.0</w:t>
      </w:r>
      <w:r w:rsidR="00866531">
        <w:rPr>
          <w:rFonts w:cs="Segoe UI"/>
          <w:szCs w:val="20"/>
        </w:rPr>
        <w:t>7</w:t>
      </w:r>
      <w:r w:rsidR="00866531" w:rsidRPr="00954913">
        <w:rPr>
          <w:rFonts w:cs="Segoe UI"/>
          <w:szCs w:val="20"/>
        </w:rPr>
        <w:t>.2022</w:t>
      </w:r>
    </w:p>
    <w:p w14:paraId="670A074A" w14:textId="630E510F" w:rsidR="00866531" w:rsidRPr="00866531" w:rsidRDefault="00866531" w:rsidP="00866531">
      <w:pPr>
        <w:pStyle w:val="Nagwek1"/>
        <w:jc w:val="center"/>
      </w:pPr>
      <w:r w:rsidRPr="00866531">
        <w:t>Już 2/3 Polaków uprawia sport. Które aktywności z najwyższym ryzykiem kontuzji?</w:t>
      </w:r>
    </w:p>
    <w:p w14:paraId="3BA8BEEE" w14:textId="6A0C4F1D" w:rsidR="00922345" w:rsidRDefault="00922345" w:rsidP="007A528C">
      <w:pPr>
        <w:pStyle w:val="Numerowanie4Wiener"/>
        <w:numPr>
          <w:ilvl w:val="0"/>
          <w:numId w:val="0"/>
        </w:numPr>
      </w:pPr>
    </w:p>
    <w:p w14:paraId="4802F517" w14:textId="23DB21AB" w:rsidR="00866531" w:rsidRPr="00866531" w:rsidRDefault="00866531" w:rsidP="00866531">
      <w:pPr>
        <w:rPr>
          <w:rFonts w:cs="Segoe UI"/>
          <w:b/>
          <w:bCs/>
          <w:szCs w:val="20"/>
        </w:rPr>
      </w:pPr>
      <w:r w:rsidRPr="006A2104">
        <w:rPr>
          <w:rFonts w:cs="Segoe UI"/>
          <w:b/>
          <w:bCs/>
          <w:szCs w:val="20"/>
        </w:rPr>
        <w:t>Już dwóch na trzech Polaków deklaruje, że uprawia sport, z czego połowa minimum raz w tygodniu. Co trzeci młody człowiek ćwiczy 2-3 razy w tygodniu, natomiast w grupie osób powyżej 55 r.ż. aktywności nie podejmuje co drugi – wynika z badania przeprowadzonego na zlecenie Wiener. Jednak jak wskazują eksperci, sport to też ryzyko kontuzji – dla 3</w:t>
      </w:r>
      <w:r>
        <w:rPr>
          <w:rFonts w:cs="Segoe UI"/>
          <w:b/>
          <w:bCs/>
          <w:szCs w:val="20"/>
        </w:rPr>
        <w:t>7</w:t>
      </w:r>
      <w:r w:rsidRPr="006A2104">
        <w:rPr>
          <w:rFonts w:cs="Segoe UI"/>
          <w:b/>
          <w:bCs/>
          <w:szCs w:val="20"/>
        </w:rPr>
        <w:t>% badanych sportowe urazy poskutkowały nieobecnością w pracy i nieprzewidzianymi wydatkami.</w:t>
      </w:r>
      <w:r>
        <w:rPr>
          <w:rFonts w:cs="Segoe UI"/>
          <w:b/>
          <w:bCs/>
          <w:szCs w:val="20"/>
        </w:rPr>
        <w:t xml:space="preserve"> I</w:t>
      </w:r>
      <w:r w:rsidRPr="006A2104">
        <w:rPr>
          <w:rFonts w:cs="Segoe UI"/>
          <w:b/>
          <w:bCs/>
          <w:szCs w:val="20"/>
        </w:rPr>
        <w:t>stnieją ubezpieczenia, dzięki którym urazy bolą mniej</w:t>
      </w:r>
      <w:r>
        <w:rPr>
          <w:rFonts w:cs="Segoe UI"/>
          <w:b/>
          <w:bCs/>
          <w:szCs w:val="20"/>
        </w:rPr>
        <w:t>, przynajmniej</w:t>
      </w:r>
      <w:r w:rsidRPr="006A2104">
        <w:rPr>
          <w:rFonts w:cs="Segoe UI"/>
          <w:b/>
          <w:bCs/>
          <w:szCs w:val="20"/>
        </w:rPr>
        <w:t xml:space="preserve"> pod kątem finansowy</w:t>
      </w:r>
      <w:r>
        <w:rPr>
          <w:rFonts w:cs="Segoe UI"/>
          <w:b/>
          <w:bCs/>
          <w:szCs w:val="20"/>
        </w:rPr>
        <w:t>m</w:t>
      </w:r>
      <w:r w:rsidRPr="006A2104">
        <w:rPr>
          <w:rFonts w:cs="Segoe UI"/>
          <w:b/>
          <w:bCs/>
          <w:szCs w:val="20"/>
        </w:rPr>
        <w:t>.</w:t>
      </w:r>
    </w:p>
    <w:p w14:paraId="348145A1" w14:textId="77777777" w:rsidR="00866531" w:rsidRPr="00172FDD" w:rsidRDefault="00866531" w:rsidP="00866531">
      <w:pPr>
        <w:rPr>
          <w:rFonts w:cs="Segoe UI"/>
          <w:szCs w:val="20"/>
        </w:rPr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988D384" wp14:editId="01273E9B">
            <wp:simplePos x="0" y="0"/>
            <wp:positionH relativeFrom="column">
              <wp:posOffset>1830567</wp:posOffset>
            </wp:positionH>
            <wp:positionV relativeFrom="paragraph">
              <wp:posOffset>1343025</wp:posOffset>
            </wp:positionV>
            <wp:extent cx="2950845" cy="295084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szCs w:val="20"/>
        </w:rPr>
        <w:t xml:space="preserve">Z badania przeprowadzonego na zlecenie Wiener wynika, że w żyłach Polaków płynie duch sportowej rywalizacji. 65% z nich deklaruje, że uprawia sport. </w:t>
      </w:r>
      <w:r w:rsidRPr="00172FDD">
        <w:rPr>
          <w:rFonts w:cs="Segoe UI"/>
          <w:szCs w:val="20"/>
        </w:rPr>
        <w:t xml:space="preserve">Co czwarty badany podejmuje aktywności sportowe 2-3 razy w tygodniu, 12% ćwiczy codziennie, a taki sam odsetek – raz w tygodniu. Co trzeci Polak przyznał, że w ogóle nie uprawia sportu. Najaktywniejszą grupą są ludzie młodzi – co trzecia osoba w wieku 18-24 lata uprawia sport 2-3 razy w tygodniu. Wraz z wiekiem rośnie odsetek osób niepodejmujących żadnych aktywności fizycznych – u osób w wieku powyżej 55 lat przyznał się do tego co drugi badany, w wieku 45-54 było to 40%. Nie ćwiczy co czwarty w wieku 35-44 lata i co piąty w wieku 18-34 lat.  </w:t>
      </w:r>
    </w:p>
    <w:p w14:paraId="5E58F5E5" w14:textId="77777777" w:rsidR="00866531" w:rsidRDefault="00866531" w:rsidP="00866531">
      <w:pPr>
        <w:rPr>
          <w:rFonts w:cs="Segoe UI"/>
          <w:b/>
          <w:bCs/>
          <w:szCs w:val="20"/>
        </w:rPr>
      </w:pPr>
    </w:p>
    <w:p w14:paraId="0C1D291A" w14:textId="28A774CA" w:rsidR="00866531" w:rsidRPr="00866531" w:rsidRDefault="00866531" w:rsidP="00866531">
      <w:pPr>
        <w:pStyle w:val="Nagwek3"/>
        <w:spacing w:before="30" w:after="120"/>
      </w:pPr>
      <w:r w:rsidRPr="00866531">
        <w:t>Sport to zdrowie, ale i kontuzje</w:t>
      </w:r>
    </w:p>
    <w:p w14:paraId="0764BEBF" w14:textId="3B3830CA" w:rsidR="00866531" w:rsidRDefault="00866531" w:rsidP="00866531">
      <w:pPr>
        <w:rPr>
          <w:rFonts w:cs="Segoe UI"/>
          <w:szCs w:val="20"/>
        </w:rPr>
      </w:pPr>
      <w:r>
        <w:rPr>
          <w:rFonts w:cs="Segoe UI"/>
          <w:szCs w:val="20"/>
        </w:rPr>
        <w:t>Według badania</w:t>
      </w:r>
      <w:r w:rsidRPr="00172FDD">
        <w:rPr>
          <w:rFonts w:cs="Segoe UI"/>
          <w:szCs w:val="20"/>
        </w:rPr>
        <w:t xml:space="preserve"> 38% Polaków doznało kontuzji w czasie uprawiania sportu. Częściej przytrafiały się one mężczyznom (46%) niż kobietom (31%). Kontuzje to nie tylko negatywne skutki dla sprawności, ale i finansów. </w:t>
      </w:r>
      <w:r>
        <w:rPr>
          <w:rFonts w:cs="Segoe UI"/>
          <w:szCs w:val="20"/>
        </w:rPr>
        <w:t xml:space="preserve">Aż </w:t>
      </w:r>
      <w:r w:rsidRPr="00172FDD">
        <w:rPr>
          <w:rFonts w:cs="Segoe UI"/>
          <w:szCs w:val="20"/>
        </w:rPr>
        <w:t xml:space="preserve">37% badanych w wyniku doznanego urazu nie mogło </w:t>
      </w:r>
      <w:r w:rsidRPr="00F855AA">
        <w:rPr>
          <w:rFonts w:cs="Segoe UI"/>
          <w:szCs w:val="20"/>
        </w:rPr>
        <w:t>pracować lub było zmuszonych pokryć nieprzewidziane wydatki z tym związane.</w:t>
      </w:r>
      <w:r w:rsidRPr="00172FDD">
        <w:rPr>
          <w:rFonts w:cs="Segoe UI"/>
          <w:szCs w:val="20"/>
        </w:rPr>
        <w:t xml:space="preserve"> Najczęściej </w:t>
      </w:r>
      <w:r>
        <w:rPr>
          <w:rFonts w:cs="Segoe UI"/>
          <w:szCs w:val="20"/>
        </w:rPr>
        <w:t xml:space="preserve">takie sytuacje </w:t>
      </w:r>
      <w:r w:rsidRPr="00172FDD">
        <w:rPr>
          <w:rFonts w:cs="Segoe UI"/>
          <w:szCs w:val="20"/>
        </w:rPr>
        <w:t>dotyczyły najstarszej grupy badanych powyżej 55</w:t>
      </w:r>
      <w:r>
        <w:rPr>
          <w:rFonts w:cs="Segoe UI"/>
          <w:szCs w:val="20"/>
        </w:rPr>
        <w:t xml:space="preserve"> </w:t>
      </w:r>
      <w:r w:rsidRPr="00172FDD">
        <w:rPr>
          <w:rFonts w:cs="Segoe UI"/>
          <w:szCs w:val="20"/>
        </w:rPr>
        <w:t>r</w:t>
      </w:r>
      <w:r>
        <w:rPr>
          <w:rFonts w:cs="Segoe UI"/>
          <w:szCs w:val="20"/>
        </w:rPr>
        <w:t>.</w:t>
      </w:r>
      <w:r w:rsidRPr="00172FDD">
        <w:rPr>
          <w:rFonts w:cs="Segoe UI"/>
          <w:szCs w:val="20"/>
        </w:rPr>
        <w:t xml:space="preserve">ż., gdzie prawie co drugi (47%) </w:t>
      </w:r>
      <w:r>
        <w:rPr>
          <w:rFonts w:cs="Segoe UI"/>
          <w:szCs w:val="20"/>
        </w:rPr>
        <w:t>przyznał się do nieobecności w pracy przez kontuzję</w:t>
      </w:r>
      <w:r w:rsidRPr="00172FDD">
        <w:rPr>
          <w:rFonts w:cs="Segoe UI"/>
          <w:szCs w:val="20"/>
        </w:rPr>
        <w:t xml:space="preserve"> lub </w:t>
      </w:r>
      <w:r>
        <w:rPr>
          <w:rFonts w:cs="Segoe UI"/>
          <w:szCs w:val="20"/>
        </w:rPr>
        <w:t>miał</w:t>
      </w:r>
      <w:r w:rsidRPr="00172FDD">
        <w:rPr>
          <w:rFonts w:cs="Segoe UI"/>
          <w:szCs w:val="20"/>
        </w:rPr>
        <w:t xml:space="preserve"> niespodziewane wydatki z tego powodu.</w:t>
      </w:r>
    </w:p>
    <w:p w14:paraId="0D2EB747" w14:textId="75B49331" w:rsidR="00866531" w:rsidRPr="00866531" w:rsidRDefault="00866531" w:rsidP="00866531">
      <w:pPr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– </w:t>
      </w:r>
      <w:r w:rsidRPr="0076423A">
        <w:rPr>
          <w:rFonts w:cs="Segoe UI"/>
          <w:i/>
          <w:iCs/>
          <w:szCs w:val="20"/>
        </w:rPr>
        <w:t xml:space="preserve">Podejmując aktywności sportowe, musimy się liczyć z ryzykiem ewentualnych urazów. O ile ochraniacze czy odpowiedni sprzęt uchronią nas przed bolesnymi uszkodzeniami, o tyle nie jesteśmy w stanie przewidzieć kosztów, jakie niesie za sobą ewentualna, przedłużająca się nieobecność w pracy oraz możliwa, późniejsza rehabilitacja. Warto wiedzieć, że na rynku istnieją ubezpieczenia, które chronią osoby prowadzące aktywny tryb życia. W Wiener to </w:t>
      </w:r>
      <w:r>
        <w:rPr>
          <w:rFonts w:cs="Segoe UI"/>
          <w:i/>
          <w:iCs/>
          <w:szCs w:val="20"/>
        </w:rPr>
        <w:t>P</w:t>
      </w:r>
      <w:r w:rsidRPr="0076423A">
        <w:rPr>
          <w:rFonts w:cs="Segoe UI"/>
          <w:i/>
          <w:iCs/>
          <w:szCs w:val="20"/>
        </w:rPr>
        <w:t>akiet NA WSZELKI WYPADEK, który działa także wtedy, gdy amatorsko uprawiamy sport albo w czasie wolnym decydujemy się na aktywności</w:t>
      </w:r>
      <w:r>
        <w:rPr>
          <w:rFonts w:cs="Segoe UI"/>
          <w:i/>
          <w:iCs/>
          <w:szCs w:val="20"/>
        </w:rPr>
        <w:t xml:space="preserve"> z większym ryzykiem, takie jak </w:t>
      </w:r>
      <w:r w:rsidRPr="0076423A">
        <w:rPr>
          <w:rFonts w:cs="Segoe UI"/>
          <w:i/>
          <w:iCs/>
          <w:szCs w:val="20"/>
        </w:rPr>
        <w:t>wspinaczka czy jazda na rowerze na trasach z przeszkodami</w:t>
      </w:r>
      <w:r>
        <w:rPr>
          <w:rFonts w:cs="Segoe UI"/>
          <w:szCs w:val="20"/>
        </w:rPr>
        <w:t xml:space="preserve"> – tłumaczy Anna Bałuka, ekspert Wiener.</w:t>
      </w:r>
    </w:p>
    <w:p w14:paraId="4A050A13" w14:textId="2B7FA887" w:rsidR="00866531" w:rsidRPr="00866531" w:rsidRDefault="00866531" w:rsidP="00866531">
      <w:pPr>
        <w:pStyle w:val="Nagwek3"/>
        <w:spacing w:before="30" w:after="120"/>
      </w:pPr>
      <w:r w:rsidRPr="00866531">
        <w:t>TOP3 najbardziej ryzykownych sportów</w:t>
      </w:r>
    </w:p>
    <w:p w14:paraId="0F6C3C89" w14:textId="5B7101E8" w:rsidR="00866531" w:rsidRPr="00172FDD" w:rsidRDefault="00866531" w:rsidP="00866531">
      <w:pPr>
        <w:rPr>
          <w:rFonts w:cs="Segoe UI"/>
          <w:szCs w:val="20"/>
        </w:rPr>
      </w:pPr>
      <w:r w:rsidRPr="00F855AA">
        <w:rPr>
          <w:rFonts w:cs="Segoe UI"/>
          <w:szCs w:val="20"/>
        </w:rPr>
        <w:t xml:space="preserve">Najbardziej ryzykownym </w:t>
      </w:r>
      <w:r w:rsidRPr="00172FDD">
        <w:rPr>
          <w:rFonts w:cs="Segoe UI"/>
          <w:szCs w:val="20"/>
        </w:rPr>
        <w:t xml:space="preserve">sportem </w:t>
      </w:r>
      <w:r w:rsidRPr="00F855AA">
        <w:rPr>
          <w:rFonts w:cs="Segoe UI"/>
          <w:szCs w:val="20"/>
        </w:rPr>
        <w:t xml:space="preserve">pod względem </w:t>
      </w:r>
      <w:r w:rsidRPr="00172FDD">
        <w:rPr>
          <w:rFonts w:cs="Segoe UI"/>
          <w:szCs w:val="20"/>
        </w:rPr>
        <w:t xml:space="preserve">kontuzji </w:t>
      </w:r>
      <w:r>
        <w:rPr>
          <w:rFonts w:cs="Segoe UI"/>
          <w:szCs w:val="20"/>
        </w:rPr>
        <w:t xml:space="preserve">okazała się </w:t>
      </w:r>
      <w:r w:rsidRPr="00172FDD">
        <w:rPr>
          <w:rFonts w:cs="Segoe UI"/>
          <w:szCs w:val="20"/>
        </w:rPr>
        <w:t>piłka nożna</w:t>
      </w:r>
      <w:r>
        <w:rPr>
          <w:rFonts w:cs="Segoe UI"/>
          <w:szCs w:val="20"/>
        </w:rPr>
        <w:t xml:space="preserve"> – </w:t>
      </w:r>
      <w:r w:rsidRPr="00172FDD">
        <w:rPr>
          <w:rFonts w:cs="Segoe UI"/>
          <w:szCs w:val="20"/>
        </w:rPr>
        <w:t>26% Polaków, którzy przyznali się do aktywności w tej dyscyplinie</w:t>
      </w:r>
      <w:r>
        <w:rPr>
          <w:rFonts w:cs="Segoe UI"/>
          <w:szCs w:val="20"/>
        </w:rPr>
        <w:t>,</w:t>
      </w:r>
      <w:r w:rsidRPr="00172FDD">
        <w:rPr>
          <w:rFonts w:cs="Segoe UI"/>
          <w:szCs w:val="20"/>
        </w:rPr>
        <w:t xml:space="preserve"> doznało urazu. Na drugim miejscu znalazła się siatkówka, podczas której wypadek zdarzył się co czwartej osobie. Tuż za nią zna</w:t>
      </w:r>
      <w:r>
        <w:rPr>
          <w:rFonts w:cs="Segoe UI"/>
          <w:szCs w:val="20"/>
        </w:rPr>
        <w:t>lazła</w:t>
      </w:r>
      <w:r w:rsidRPr="00172FDD">
        <w:rPr>
          <w:rFonts w:cs="Segoe UI"/>
          <w:szCs w:val="20"/>
        </w:rPr>
        <w:t xml:space="preserve"> się koszykówka, w wyniku której kontuzji dostało 23% graczy uczestniczących w badaniu. Zdecydowanie rzadziej urazy zdarzają się podczas pływania (13%), biegania (12%), jazdy na rowerze (9%) czy fitnessu (8%).</w:t>
      </w:r>
    </w:p>
    <w:p w14:paraId="2FF7CD9E" w14:textId="19630A55" w:rsidR="00866531" w:rsidRPr="00866531" w:rsidRDefault="00866531" w:rsidP="00866531">
      <w:pPr>
        <w:pStyle w:val="Nagwek3"/>
        <w:spacing w:before="30" w:after="120"/>
      </w:pPr>
      <w:r w:rsidRPr="00866531">
        <w:t>Co drugi ćwiczy dla satysfakcji, nie wyników</w:t>
      </w:r>
    </w:p>
    <w:p w14:paraId="6F2BF9E9" w14:textId="07902BAF" w:rsidR="00866531" w:rsidRPr="00172FDD" w:rsidRDefault="00866531" w:rsidP="00866531">
      <w:pPr>
        <w:rPr>
          <w:rFonts w:cs="Segoe UI"/>
          <w:szCs w:val="20"/>
        </w:rPr>
      </w:pPr>
      <w:r w:rsidRPr="00172FDD">
        <w:rPr>
          <w:rFonts w:cs="Segoe UI"/>
          <w:szCs w:val="20"/>
        </w:rPr>
        <w:t xml:space="preserve">Firma Wiener zapytała również o to, czy Polacy rejestrują lub monitorują swoje aktywności sportowe za pomocą aplikacji w smartfonie lub innych urządzeń. Okazuje się, że </w:t>
      </w:r>
      <w:r>
        <w:rPr>
          <w:rFonts w:cs="Segoe UI"/>
          <w:szCs w:val="20"/>
        </w:rPr>
        <w:t xml:space="preserve">choć </w:t>
      </w:r>
      <w:r w:rsidRPr="00172FDD">
        <w:rPr>
          <w:rFonts w:cs="Segoe UI"/>
          <w:szCs w:val="20"/>
        </w:rPr>
        <w:t xml:space="preserve">nie robi tego co drugi badany, prawie tyle samo sprawdza swoje wyniki – 28% używa do tego celu dedykowanych akcesoriów, takich jak zegarki, opaski sportowe, liczniki itp., natomiast co piąty zerka na ekran swojego </w:t>
      </w:r>
      <w:proofErr w:type="spellStart"/>
      <w:r w:rsidRPr="00172FDD">
        <w:rPr>
          <w:rFonts w:cs="Segoe UI"/>
          <w:szCs w:val="20"/>
        </w:rPr>
        <w:t>smartfona</w:t>
      </w:r>
      <w:proofErr w:type="spellEnd"/>
      <w:r w:rsidRPr="00172FDD">
        <w:rPr>
          <w:rFonts w:cs="Segoe UI"/>
          <w:szCs w:val="20"/>
        </w:rPr>
        <w:t xml:space="preserve">. </w:t>
      </w:r>
    </w:p>
    <w:p w14:paraId="051F5E47" w14:textId="77777777" w:rsidR="00866531" w:rsidRDefault="00866531" w:rsidP="00866531">
      <w:pPr>
        <w:rPr>
          <w:rFonts w:cs="Segoe UI"/>
          <w:szCs w:val="20"/>
        </w:rPr>
      </w:pPr>
      <w:r w:rsidRPr="00172FDD">
        <w:rPr>
          <w:rFonts w:cs="Segoe UI"/>
          <w:szCs w:val="20"/>
        </w:rPr>
        <w:t xml:space="preserve">Polacy nie są również zwolennikami dzielenia się swoimi aktywnościami sportowymi </w:t>
      </w:r>
      <w:r>
        <w:rPr>
          <w:rFonts w:cs="Segoe UI"/>
          <w:szCs w:val="20"/>
        </w:rPr>
        <w:t>ze znajomymi</w:t>
      </w:r>
      <w:r w:rsidRPr="00172FDD">
        <w:rPr>
          <w:rFonts w:cs="Segoe UI"/>
          <w:szCs w:val="20"/>
        </w:rPr>
        <w:t xml:space="preserve"> Zaledwie 8% udostępnia swoje wyniki w aplikacji sportowej, 6% dzieli się tym w mediach społecznościowych. Zdecydowana większość, bo aż 86% badanych nie podejmuje takich działań</w:t>
      </w:r>
      <w:r>
        <w:rPr>
          <w:rFonts w:cs="Segoe UI"/>
          <w:szCs w:val="20"/>
        </w:rPr>
        <w:t>, ćwicząc da własnej satysfakcji.</w:t>
      </w:r>
    </w:p>
    <w:p w14:paraId="3960134A" w14:textId="77777777" w:rsidR="00866531" w:rsidRPr="00315C0F" w:rsidRDefault="00866531" w:rsidP="00866531">
      <w:pPr>
        <w:rPr>
          <w:rFonts w:cs="Segoe UI"/>
          <w:szCs w:val="20"/>
        </w:rPr>
      </w:pPr>
    </w:p>
    <w:p w14:paraId="35D0E25D" w14:textId="77777777" w:rsidR="00866531" w:rsidRPr="00B303A7" w:rsidRDefault="00866531" w:rsidP="00866531">
      <w:pPr>
        <w:rPr>
          <w:rFonts w:cs="Segoe UI"/>
          <w:sz w:val="18"/>
          <w:szCs w:val="18"/>
        </w:rPr>
      </w:pPr>
      <w:r w:rsidRPr="00B303A7">
        <w:rPr>
          <w:rFonts w:cs="Segoe UI"/>
          <w:b/>
          <w:bCs/>
          <w:sz w:val="18"/>
          <w:szCs w:val="18"/>
        </w:rPr>
        <w:t>Metodologia</w:t>
      </w:r>
      <w:r w:rsidRPr="00B303A7">
        <w:rPr>
          <w:rFonts w:cs="Segoe UI"/>
          <w:sz w:val="18"/>
          <w:szCs w:val="18"/>
        </w:rPr>
        <w:t>: Badanie przeprowadzono na ogólnopolskim panelu badawczym Ariadna metodą CAWI (</w:t>
      </w:r>
      <w:proofErr w:type="spellStart"/>
      <w:r w:rsidRPr="00B303A7">
        <w:rPr>
          <w:rFonts w:cs="Segoe UI"/>
          <w:sz w:val="18"/>
          <w:szCs w:val="18"/>
        </w:rPr>
        <w:t>Computer-Assisted</w:t>
      </w:r>
      <w:proofErr w:type="spellEnd"/>
      <w:r w:rsidRPr="00B303A7">
        <w:rPr>
          <w:rFonts w:cs="Segoe UI"/>
          <w:sz w:val="18"/>
          <w:szCs w:val="18"/>
        </w:rPr>
        <w:t xml:space="preserve"> Web Interview) w czerwcu 2022 roku na ogólnopolskiej próbie N=1066 osób. </w:t>
      </w:r>
    </w:p>
    <w:p w14:paraId="7543EB11" w14:textId="77777777" w:rsidR="00866531" w:rsidRPr="00936967" w:rsidRDefault="00866531" w:rsidP="007A528C">
      <w:pPr>
        <w:pStyle w:val="Numerowanie4Wiener"/>
        <w:numPr>
          <w:ilvl w:val="0"/>
          <w:numId w:val="0"/>
        </w:numPr>
      </w:pPr>
    </w:p>
    <w:sectPr w:rsidR="00866531" w:rsidRPr="00936967" w:rsidSect="0025403D">
      <w:headerReference w:type="default" r:id="rId9"/>
      <w:footerReference w:type="default" r:id="rId10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7C0F" w14:textId="77777777" w:rsidR="00BF0A35" w:rsidRDefault="00BF0A35" w:rsidP="000E086B">
      <w:pPr>
        <w:spacing w:after="0"/>
      </w:pPr>
      <w:r>
        <w:separator/>
      </w:r>
    </w:p>
  </w:endnote>
  <w:endnote w:type="continuationSeparator" w:id="0">
    <w:p w14:paraId="3EEF9ACB" w14:textId="77777777" w:rsidR="00BF0A35" w:rsidRDefault="00BF0A35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e U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59F2" w14:textId="77777777" w:rsidR="0025403D" w:rsidRDefault="0056521F">
    <w:pPr>
      <w:pStyle w:val="Stopka"/>
    </w:pPr>
    <w:r>
      <w:rPr>
        <w:noProof/>
      </w:rPr>
      <w:drawing>
        <wp:inline distT="0" distB="0" distL="0" distR="0" wp14:anchorId="08027E9C" wp14:editId="62BFE96E">
          <wp:extent cx="6248400" cy="490855"/>
          <wp:effectExtent l="0" t="0" r="0" b="4445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E3B0" w14:textId="77777777" w:rsidR="00BF0A35" w:rsidRDefault="00BF0A35" w:rsidP="000E086B">
      <w:pPr>
        <w:spacing w:after="0"/>
      </w:pPr>
      <w:r>
        <w:separator/>
      </w:r>
    </w:p>
  </w:footnote>
  <w:footnote w:type="continuationSeparator" w:id="0">
    <w:p w14:paraId="7CBE1583" w14:textId="77777777" w:rsidR="00BF0A35" w:rsidRDefault="00BF0A35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A55" w14:textId="77777777" w:rsidR="0025403D" w:rsidRDefault="0025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290632" wp14:editId="30DF77C5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10382">
    <w:abstractNumId w:val="12"/>
  </w:num>
  <w:num w:numId="2" w16cid:durableId="713892959">
    <w:abstractNumId w:val="14"/>
  </w:num>
  <w:num w:numId="3" w16cid:durableId="447554534">
    <w:abstractNumId w:val="6"/>
  </w:num>
  <w:num w:numId="4" w16cid:durableId="821770040">
    <w:abstractNumId w:val="0"/>
  </w:num>
  <w:num w:numId="5" w16cid:durableId="1011182717">
    <w:abstractNumId w:val="13"/>
  </w:num>
  <w:num w:numId="6" w16cid:durableId="307629795">
    <w:abstractNumId w:val="3"/>
  </w:num>
  <w:num w:numId="7" w16cid:durableId="466625409">
    <w:abstractNumId w:val="11"/>
  </w:num>
  <w:num w:numId="8" w16cid:durableId="1085999924">
    <w:abstractNumId w:val="1"/>
  </w:num>
  <w:num w:numId="9" w16cid:durableId="322323190">
    <w:abstractNumId w:val="9"/>
  </w:num>
  <w:num w:numId="10" w16cid:durableId="1129736902">
    <w:abstractNumId w:val="15"/>
  </w:num>
  <w:num w:numId="11" w16cid:durableId="1999070350">
    <w:abstractNumId w:val="5"/>
  </w:num>
  <w:num w:numId="12" w16cid:durableId="634793259">
    <w:abstractNumId w:val="2"/>
  </w:num>
  <w:num w:numId="13" w16cid:durableId="1902666663">
    <w:abstractNumId w:val="10"/>
  </w:num>
  <w:num w:numId="14" w16cid:durableId="170491117">
    <w:abstractNumId w:val="8"/>
  </w:num>
  <w:num w:numId="15" w16cid:durableId="391079175">
    <w:abstractNumId w:val="6"/>
  </w:num>
  <w:num w:numId="16" w16cid:durableId="275337055">
    <w:abstractNumId w:val="6"/>
  </w:num>
  <w:num w:numId="17" w16cid:durableId="1741057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0209275">
    <w:abstractNumId w:val="4"/>
  </w:num>
  <w:num w:numId="19" w16cid:durableId="346710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6B"/>
    <w:rsid w:val="000446BE"/>
    <w:rsid w:val="000E086B"/>
    <w:rsid w:val="000F5DDD"/>
    <w:rsid w:val="0020356A"/>
    <w:rsid w:val="002409AA"/>
    <w:rsid w:val="0025403D"/>
    <w:rsid w:val="002F7B8E"/>
    <w:rsid w:val="00413C59"/>
    <w:rsid w:val="00454CA6"/>
    <w:rsid w:val="004741D4"/>
    <w:rsid w:val="004826B4"/>
    <w:rsid w:val="00513D59"/>
    <w:rsid w:val="0056521F"/>
    <w:rsid w:val="006130CC"/>
    <w:rsid w:val="006409C3"/>
    <w:rsid w:val="00690499"/>
    <w:rsid w:val="007416A2"/>
    <w:rsid w:val="007426BC"/>
    <w:rsid w:val="007864A9"/>
    <w:rsid w:val="007A00FF"/>
    <w:rsid w:val="007A528C"/>
    <w:rsid w:val="007E7773"/>
    <w:rsid w:val="007F3673"/>
    <w:rsid w:val="00825899"/>
    <w:rsid w:val="00866531"/>
    <w:rsid w:val="00875DF6"/>
    <w:rsid w:val="008866F6"/>
    <w:rsid w:val="00922345"/>
    <w:rsid w:val="00936967"/>
    <w:rsid w:val="00936D25"/>
    <w:rsid w:val="00952AD0"/>
    <w:rsid w:val="00990EC4"/>
    <w:rsid w:val="009B4FA6"/>
    <w:rsid w:val="009F0163"/>
    <w:rsid w:val="00A9040C"/>
    <w:rsid w:val="00B11935"/>
    <w:rsid w:val="00B35CB0"/>
    <w:rsid w:val="00B67F9D"/>
    <w:rsid w:val="00B731CA"/>
    <w:rsid w:val="00BA63E4"/>
    <w:rsid w:val="00BB0B24"/>
    <w:rsid w:val="00BF0A35"/>
    <w:rsid w:val="00C12B60"/>
    <w:rsid w:val="00C3293B"/>
    <w:rsid w:val="00C56A10"/>
    <w:rsid w:val="00C95A3A"/>
    <w:rsid w:val="00C970E7"/>
    <w:rsid w:val="00D20112"/>
    <w:rsid w:val="00D61852"/>
    <w:rsid w:val="00DB6DDE"/>
    <w:rsid w:val="00F13C57"/>
    <w:rsid w:val="00F419E6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4467"/>
  <w15:chartTrackingRefBased/>
  <w15:docId w15:val="{C82BEA73-B45B-4D76-828F-975AB0C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26FB-0C3B-484B-8CAB-05603C7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Błęcki</dc:creator>
  <cp:keywords/>
  <dc:description/>
  <cp:lastModifiedBy>Klaudia Łoś</cp:lastModifiedBy>
  <cp:revision>3</cp:revision>
  <cp:lastPrinted>2019-06-24T10:52:00Z</cp:lastPrinted>
  <dcterms:created xsi:type="dcterms:W3CDTF">2022-07-08T09:20:00Z</dcterms:created>
  <dcterms:modified xsi:type="dcterms:W3CDTF">2022-07-14T07:51:00Z</dcterms:modified>
</cp:coreProperties>
</file>